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40CADB" w14:textId="1EA6D74B" w:rsidR="001833E2" w:rsidRPr="001833E2" w:rsidRDefault="001833E2" w:rsidP="00402BC9">
      <w:pPr>
        <w:pStyle w:val="2"/>
        <w:rPr>
          <w:color w:val="FF0000"/>
          <w:sz w:val="36"/>
        </w:rPr>
      </w:pPr>
      <w:bookmarkStart w:id="0" w:name="OLE_LINK13"/>
      <w:bookmarkStart w:id="1" w:name="OLE_LINK14"/>
      <w:r w:rsidRPr="001833E2">
        <w:rPr>
          <w:rFonts w:hint="eastAsia"/>
          <w:color w:val="FF0000"/>
          <w:sz w:val="36"/>
        </w:rPr>
        <w:t>T</w:t>
      </w:r>
      <w:r w:rsidRPr="001833E2">
        <w:rPr>
          <w:color w:val="FF0000"/>
          <w:sz w:val="36"/>
        </w:rPr>
        <w:t xml:space="preserve">his is a quick reading guide to help you find the reading that you need to use in the question. </w:t>
      </w:r>
      <w:r>
        <w:rPr>
          <w:color w:val="FF0000"/>
          <w:sz w:val="36"/>
        </w:rPr>
        <w:t xml:space="preserve"> </w:t>
      </w:r>
      <w:proofErr w:type="spellStart"/>
      <w:r>
        <w:rPr>
          <w:color w:val="FF0000"/>
          <w:sz w:val="36"/>
        </w:rPr>
        <w:t>Its</w:t>
      </w:r>
      <w:proofErr w:type="spellEnd"/>
      <w:r>
        <w:rPr>
          <w:color w:val="FF0000"/>
          <w:sz w:val="36"/>
        </w:rPr>
        <w:t xml:space="preserve"> not enough information to only use this guide. Please find the reading you need and go read the reading.</w:t>
      </w:r>
      <w:bookmarkStart w:id="2" w:name="_GoBack"/>
      <w:bookmarkEnd w:id="2"/>
    </w:p>
    <w:bookmarkEnd w:id="0"/>
    <w:bookmarkEnd w:id="1"/>
    <w:p w14:paraId="0C307FE1" w14:textId="5B8E96EC" w:rsidR="00402BC9" w:rsidRDefault="00402BC9" w:rsidP="00402BC9">
      <w:pPr>
        <w:pStyle w:val="2"/>
      </w:pPr>
      <w:r>
        <w:t>Week One</w:t>
      </w:r>
    </w:p>
    <w:p w14:paraId="3BA69C4D" w14:textId="77777777" w:rsidR="00402BC9" w:rsidRPr="006D7E95" w:rsidRDefault="00402BC9" w:rsidP="00402BC9">
      <w:r w:rsidRPr="00036172">
        <w:rPr>
          <w:b/>
        </w:rPr>
        <w:t xml:space="preserve">R. Fox, “Food and Eating.” </w:t>
      </w:r>
      <w:r>
        <w:rPr>
          <w:b/>
        </w:rPr>
        <w:t xml:space="preserve">— </w:t>
      </w:r>
      <w:r>
        <w:t>when was this written? 2003? This feels like it was written in the 1980s by someone insensitive to shifts in political correctness, politics, culture, etc. It has, for instance, weird ideas on nutrition (e.g., cheeseburgers not bad). That said, it is a good overview in a crude way. It’s more interesting in delighting in showing up our foibles around food than in being critical, in being droll than systematic. One thing that is intriguing is that it attributes a lot of weight to social morals around food that have shifted, if not deteriorated. Not sure we care so much about such things.</w:t>
      </w:r>
    </w:p>
    <w:p w14:paraId="01C70D58" w14:textId="77777777" w:rsidR="00402BC9" w:rsidRDefault="00402BC9" w:rsidP="00402BC9">
      <w:proofErr w:type="spellStart"/>
      <w:r w:rsidRPr="00036172">
        <w:rPr>
          <w:b/>
        </w:rPr>
        <w:t>Collingham</w:t>
      </w:r>
      <w:proofErr w:type="spellEnd"/>
      <w:r w:rsidRPr="00036172">
        <w:rPr>
          <w:b/>
        </w:rPr>
        <w:t>, "Taste of War" (pp. 1-14)</w:t>
      </w:r>
      <w:r>
        <w:t xml:space="preserve"> — this book argues that WWII was a culmination of the tensions created by the industrialization and urbanization waves that spread globally during the nineteenth century. These tensions also gave rise to the field of sociology, so in this way food is tacitly central to the discipline.</w:t>
      </w:r>
    </w:p>
    <w:p w14:paraId="4C579480" w14:textId="77777777" w:rsidR="00402BC9" w:rsidRDefault="00402BC9" w:rsidP="00402BC9">
      <w:r>
        <w:t>The rise of cities created enormous populations that could not supply their own food supplies. This created a severe sense of vulnerability, especially among the Axis powers.</w:t>
      </w:r>
    </w:p>
    <w:p w14:paraId="56E8E0CC" w14:textId="77777777" w:rsidR="00402BC9" w:rsidRDefault="00402BC9" w:rsidP="00402BC9">
      <w:r>
        <w:t xml:space="preserve">What are the consequences of hunger on the body? How did countries during the war respond to the threat of hunger? How did they change how they were organized in terms of agriculture? Food distribution? Politics? </w:t>
      </w:r>
    </w:p>
    <w:p w14:paraId="3F04CAFA" w14:textId="77777777" w:rsidR="00402BC9" w:rsidRDefault="00402BC9" w:rsidP="00402BC9">
      <w:r>
        <w:t xml:space="preserve">How did the lessons the </w:t>
      </w:r>
      <w:proofErr w:type="spellStart"/>
      <w:r>
        <w:t>Nazies</w:t>
      </w:r>
      <w:proofErr w:type="spellEnd"/>
      <w:r>
        <w:t xml:space="preserve"> drew about food in WWI fuel their plans for genocide, especially in eastern Europe?</w:t>
      </w:r>
    </w:p>
    <w:p w14:paraId="35EB9CA2" w14:textId="77777777" w:rsidR="00402BC9" w:rsidRDefault="00402BC9" w:rsidP="00402BC9">
      <w:r>
        <w:t>Pp. 12—14 can be skipped if pressed for time.</w:t>
      </w:r>
    </w:p>
    <w:p w14:paraId="2AE4B517" w14:textId="77777777" w:rsidR="00402BC9" w:rsidRDefault="00402BC9" w:rsidP="00402BC9"/>
    <w:p w14:paraId="2303FCB6" w14:textId="77777777" w:rsidR="00402BC9" w:rsidRDefault="00402BC9" w:rsidP="00402BC9">
      <w:r>
        <w:rPr>
          <w:b/>
        </w:rPr>
        <w:t xml:space="preserve">Optional: </w:t>
      </w:r>
      <w:r w:rsidRPr="00840E26">
        <w:rPr>
          <w:b/>
        </w:rPr>
        <w:t>T. Chee-</w:t>
      </w:r>
      <w:proofErr w:type="spellStart"/>
      <w:r w:rsidRPr="00840E26">
        <w:rPr>
          <w:b/>
        </w:rPr>
        <w:t>Beng</w:t>
      </w:r>
      <w:proofErr w:type="spellEnd"/>
      <w:r w:rsidRPr="00840E26">
        <w:rPr>
          <w:b/>
        </w:rPr>
        <w:t>, "Commensality and the Organization of Social Relations"</w:t>
      </w:r>
      <w:r>
        <w:t xml:space="preserve"> — easily the driest reading of the course. If you can’t get to all the readings, this is probably the one to triage. In essence, it’s an attempt to develop a system of categorizing different forms of ‘commensality’ (a.k.a., eating together). There are a lot of examples from around the world, but, given that we’ll have exam questions about Chinese food, those examples might be most useful.</w:t>
      </w:r>
    </w:p>
    <w:p w14:paraId="6B02A549" w14:textId="77777777" w:rsidR="00402BC9" w:rsidRDefault="00402BC9" w:rsidP="00402BC9">
      <w:r>
        <w:t>The key section is in the first paragraph:</w:t>
      </w:r>
    </w:p>
    <w:p w14:paraId="5F8BD32F" w14:textId="77777777" w:rsidR="00402BC9" w:rsidRDefault="00402BC9" w:rsidP="00402BC9">
      <w:pPr>
        <w:pStyle w:val="a3"/>
        <w:jc w:val="both"/>
      </w:pPr>
      <w:r>
        <w:t xml:space="preserve">In today’s social science rhetoric, this means that commensality is not just a biological act of consuming food; it is also a communicative act which has the significance of social relations. It is relevant to the study of social organization, which when perceived broadly includes political organization. Since eating together is a social act that has communicative significance, it involves rules of hierarchy and solidarity, boundary making as well as symbolic expression. </w:t>
      </w:r>
    </w:p>
    <w:p w14:paraId="1231A10C" w14:textId="77777777" w:rsidR="00402BC9" w:rsidRDefault="00402BC9" w:rsidP="00402BC9">
      <w:pPr>
        <w:rPr>
          <w:i/>
          <w:iCs/>
          <w:color w:val="404040" w:themeColor="text1" w:themeTint="BF"/>
        </w:rPr>
      </w:pPr>
      <w:r>
        <w:lastRenderedPageBreak/>
        <w:br w:type="page"/>
      </w:r>
    </w:p>
    <w:p w14:paraId="14FBFD36" w14:textId="77777777" w:rsidR="00402BC9" w:rsidRDefault="00402BC9" w:rsidP="00402BC9">
      <w:pPr>
        <w:pStyle w:val="2"/>
        <w:rPr>
          <w:i/>
        </w:rPr>
      </w:pPr>
      <w:r w:rsidRPr="0016769D">
        <w:lastRenderedPageBreak/>
        <w:t>Week Two</w:t>
      </w:r>
    </w:p>
    <w:p w14:paraId="222DCEC5" w14:textId="77777777" w:rsidR="00402BC9" w:rsidRPr="0071381F" w:rsidRDefault="00402BC9" w:rsidP="00402BC9">
      <w:pPr>
        <w:rPr>
          <w:b/>
        </w:rPr>
      </w:pPr>
      <w:r w:rsidRPr="0071381F">
        <w:rPr>
          <w:b/>
        </w:rPr>
        <w:t>Cai</w:t>
      </w:r>
      <w:r>
        <w:rPr>
          <w:b/>
        </w:rPr>
        <w:t>r</w:t>
      </w:r>
      <w:r w:rsidRPr="0071381F">
        <w:rPr>
          <w:b/>
        </w:rPr>
        <w:t>n</w:t>
      </w:r>
      <w:r>
        <w:rPr>
          <w:b/>
        </w:rPr>
        <w:t>s</w:t>
      </w:r>
      <w:r w:rsidRPr="0071381F">
        <w:rPr>
          <w:b/>
        </w:rPr>
        <w:t>, Johnston and Baumann. 2010. “Doing gender in the foodie kitchen.”</w:t>
      </w:r>
    </w:p>
    <w:p w14:paraId="5262205A" w14:textId="77777777" w:rsidR="00402BC9" w:rsidRDefault="00402BC9" w:rsidP="00402BC9">
      <w:r>
        <w:t xml:space="preserve">A big theory piece on gender, class and food. It stresses perspective of “doing gender”. This is important perspective, a product of the 1990s. It’s trying to get past the level of seeing gender as either biological or as a matter of roles, but rather as something that is constantly being created and recreated. In fact, it is more or less an application of symbolic interactionism to gender. </w:t>
      </w:r>
    </w:p>
    <w:p w14:paraId="197FECCC" w14:textId="77777777" w:rsidR="00402BC9" w:rsidRDefault="00402BC9" w:rsidP="00402BC9">
      <w:r>
        <w:t>I want to read you an important passage:</w:t>
      </w:r>
    </w:p>
    <w:p w14:paraId="5BAC0841" w14:textId="77777777" w:rsidR="00402BC9" w:rsidRPr="00D46FF8" w:rsidRDefault="00402BC9" w:rsidP="00402BC9">
      <w:pPr>
        <w:rPr>
          <w:i/>
        </w:rPr>
      </w:pPr>
      <w:r w:rsidRPr="00D46FF8">
        <w:rPr>
          <w:i/>
        </w:rPr>
        <w:t>Our intended contribution to the literature on gender, food, and identity is twofold. First, we add to studies of gender and food by speaking directly to the experience of foodies, a group that is renowned for bringing men into the realm of food work. Focusing on the experience of foodies provides an important perspective that is missing in studies of food media and adds to existing studies of personal food narratives by focusing on a relatively privileged class of food consumers who are strongly invested in gourmet food.</w:t>
      </w:r>
    </w:p>
    <w:p w14:paraId="71C57DA7" w14:textId="77777777" w:rsidR="00402BC9" w:rsidRPr="00D46FF8" w:rsidRDefault="00402BC9" w:rsidP="00402BC9">
      <w:pPr>
        <w:rPr>
          <w:i/>
        </w:rPr>
      </w:pPr>
      <w:r w:rsidRPr="00D46FF8">
        <w:rPr>
          <w:i/>
        </w:rPr>
        <w:t>Second, the article contributes to gender studies by exploring how both men and women describe their participation in foodie culture and how gender is enacted within this culture. Within the literature on food and identity, “studies focusing on men’s ideas, viewpoints and accounts are rare…”</w:t>
      </w:r>
    </w:p>
    <w:p w14:paraId="407259EB" w14:textId="77777777" w:rsidR="00402BC9" w:rsidRDefault="00402BC9" w:rsidP="00402BC9">
      <w:r>
        <w:t>Where are such quotes normally found?</w:t>
      </w:r>
    </w:p>
    <w:p w14:paraId="7DF055B9" w14:textId="77777777" w:rsidR="00402BC9" w:rsidRDefault="00402BC9" w:rsidP="00402BC9">
      <w:r>
        <w:t xml:space="preserve">How do gender and class combine in foodies’ “doing gender”? </w:t>
      </w:r>
    </w:p>
    <w:p w14:paraId="081593BF" w14:textId="77777777" w:rsidR="00402BC9" w:rsidRDefault="00402BC9" w:rsidP="00402BC9">
      <w:r>
        <w:t>Are there ways in which the actions of the interviewees reinforce the privileged positions?</w:t>
      </w:r>
    </w:p>
    <w:p w14:paraId="3ED1AB7A" w14:textId="77777777" w:rsidR="00402BC9" w:rsidRDefault="00402BC9" w:rsidP="00402BC9">
      <w:r>
        <w:t>Are there ways in which the women foodies are in positions of weakness even while being privileged?</w:t>
      </w:r>
    </w:p>
    <w:p w14:paraId="0CAC3DCB" w14:textId="77777777" w:rsidR="00402BC9" w:rsidRDefault="00402BC9" w:rsidP="00402BC9">
      <w:r>
        <w:t>By the way, before starting to read, check out endnote three on why they don’t talk about race.</w:t>
      </w:r>
    </w:p>
    <w:p w14:paraId="46CB3963" w14:textId="77777777" w:rsidR="00402BC9" w:rsidRDefault="00402BC9" w:rsidP="00402BC9"/>
    <w:p w14:paraId="7D655DFB" w14:textId="77777777" w:rsidR="00402BC9" w:rsidRDefault="00402BC9" w:rsidP="00402BC9">
      <w:pPr>
        <w:rPr>
          <w:b/>
        </w:rPr>
      </w:pPr>
      <w:proofErr w:type="spellStart"/>
      <w:r>
        <w:rPr>
          <w:b/>
        </w:rPr>
        <w:t>Contois</w:t>
      </w:r>
      <w:proofErr w:type="spellEnd"/>
      <w:r>
        <w:rPr>
          <w:b/>
        </w:rPr>
        <w:t>, Emily. 2017. “Lose like a Man”: Gender and the Constraints of Self-making in Weight Watchers Online.</w:t>
      </w:r>
    </w:p>
    <w:p w14:paraId="34D37047" w14:textId="77777777" w:rsidR="00402BC9" w:rsidRDefault="00402BC9" w:rsidP="00402BC9">
      <w:r>
        <w:t xml:space="preserve">This article is inspired in how much insight was gleaned from so little research. </w:t>
      </w:r>
    </w:p>
    <w:p w14:paraId="2E8724A4" w14:textId="77777777" w:rsidR="00402BC9" w:rsidRDefault="00402BC9" w:rsidP="00402BC9">
      <w:r>
        <w:t xml:space="preserve">This is an article about shaping messages about weight loss to fit perceived gendered norms. </w:t>
      </w:r>
    </w:p>
    <w:p w14:paraId="1195810C" w14:textId="77777777" w:rsidR="00402BC9" w:rsidRDefault="00402BC9" w:rsidP="00402BC9">
      <w:r>
        <w:t xml:space="preserve">How is gender performed in these videos? What impact do these norms about food and gender have on people? (We can talk about race here even if the article doesn’t.) Are people limited (per the article title) by these norms? </w:t>
      </w:r>
    </w:p>
    <w:p w14:paraId="2F845831" w14:textId="77777777" w:rsidR="00402BC9" w:rsidRDefault="00402BC9" w:rsidP="00402BC9"/>
    <w:p w14:paraId="03381770" w14:textId="77777777" w:rsidR="00402BC9" w:rsidRDefault="00402BC9" w:rsidP="00402BC9">
      <w:r w:rsidRPr="00193173">
        <w:rPr>
          <w:b/>
        </w:rPr>
        <w:t>"THE SCIENCE AND SOCIOLOGY OF EATING DISORDERS" BY ROSE CYTRYN</w:t>
      </w:r>
      <w:r>
        <w:rPr>
          <w:b/>
        </w:rPr>
        <w:t xml:space="preserve">, 2018. </w:t>
      </w:r>
    </w:p>
    <w:p w14:paraId="19E7C9AE" w14:textId="77777777" w:rsidR="00402BC9" w:rsidRDefault="00402BC9" w:rsidP="00402BC9">
      <w:r>
        <w:t>Not a great punchline. A quick overview of some issues surrounding eating disorders and possible contributing factors.</w:t>
      </w:r>
    </w:p>
    <w:p w14:paraId="6C30CF35" w14:textId="77777777" w:rsidR="00402BC9" w:rsidRPr="00193173" w:rsidRDefault="00402BC9" w:rsidP="00402BC9">
      <w:r>
        <w:t xml:space="preserve">How do eating disorders fit into “doing gender”? </w:t>
      </w:r>
    </w:p>
    <w:p w14:paraId="278A2189" w14:textId="77777777" w:rsidR="00402BC9" w:rsidRDefault="00402BC9" w:rsidP="00402BC9"/>
    <w:p w14:paraId="79355337" w14:textId="77777777" w:rsidR="00402BC9" w:rsidRDefault="00402BC9" w:rsidP="00402BC9"/>
    <w:p w14:paraId="0DC66C01" w14:textId="77777777" w:rsidR="00402BC9" w:rsidRDefault="00402BC9" w:rsidP="00402BC9">
      <w:r>
        <w:rPr>
          <w:b/>
        </w:rPr>
        <w:t xml:space="preserve">Freedman, Joshua and Dan </w:t>
      </w:r>
      <w:proofErr w:type="spellStart"/>
      <w:r>
        <w:rPr>
          <w:b/>
        </w:rPr>
        <w:t>Jurafsky</w:t>
      </w:r>
      <w:proofErr w:type="spellEnd"/>
      <w:r>
        <w:rPr>
          <w:b/>
        </w:rPr>
        <w:t>. 2013. “Authenticity in America: Class distinctions in potato chip advertising.”</w:t>
      </w:r>
    </w:p>
    <w:p w14:paraId="102A2221" w14:textId="77777777" w:rsidR="00402BC9" w:rsidRDefault="00402BC9" w:rsidP="00402BC9">
      <w:r>
        <w:t xml:space="preserve">This piece looks at how food producers signal appeal to the market segments that they are trying to reach, focusing particularly on how language is used to </w:t>
      </w:r>
      <w:proofErr w:type="spellStart"/>
      <w:r>
        <w:t>dogwhistle</w:t>
      </w:r>
      <w:proofErr w:type="spellEnd"/>
      <w:r>
        <w:t xml:space="preserve"> class.  It talks about a number of ways in which potato chip packaging varies by class: linguistic complexity, health claims, degree to which they tacitly knock the competition and authenticity. [The paper is broken into subject headings for each of these, so it’s fairly straightforward.]</w:t>
      </w:r>
    </w:p>
    <w:p w14:paraId="3B6C1592" w14:textId="77777777" w:rsidR="00402BC9" w:rsidRDefault="00402BC9" w:rsidP="00402BC9">
      <w:r>
        <w:t>I would argue that authenticity is the most interesting, as it’s not a case of one group doing something that the other isn’t different, but they’re doing it in different ways. The last paragraph of the authenticity section, on p. 52, is interesting. Here, the authors try to explain the differences in playing the authenticity card in terms of race. What’s is going on here? What do the authors think? Is this a sufficient explanation? [Hypothesis: if authenticity is status seeking (per the quote on p. 51, second full paragraph), then bourgeois potato chips are displaying conspicuous consumption: they have the money to afford exotic chips. Working class chips are displaying a commitment to whiteness. But what about decidedly non-white foods stressing tradition?)</w:t>
      </w:r>
    </w:p>
    <w:p w14:paraId="3C8443C0" w14:textId="77777777" w:rsidR="00402BC9" w:rsidRPr="00E60810" w:rsidRDefault="00402BC9" w:rsidP="00402BC9">
      <w:pPr>
        <w:rPr>
          <w:b/>
        </w:rPr>
      </w:pPr>
    </w:p>
    <w:p w14:paraId="3928020E" w14:textId="77777777" w:rsidR="00402BC9" w:rsidRDefault="00402BC9" w:rsidP="00402BC9"/>
    <w:p w14:paraId="4EE39CBD" w14:textId="77777777" w:rsidR="00402BC9" w:rsidRDefault="00402BC9" w:rsidP="00402BC9">
      <w:pPr>
        <w:rPr>
          <w:b/>
        </w:rPr>
      </w:pPr>
      <w:r>
        <w:rPr>
          <w:b/>
        </w:rPr>
        <w:t>Johnston and Bauman. 2010. Caring about food: doing gender in the foodie kitchen.</w:t>
      </w:r>
    </w:p>
    <w:p w14:paraId="0D00EDB5" w14:textId="77777777" w:rsidR="00402BC9" w:rsidRDefault="00402BC9" w:rsidP="00402BC9">
      <w:r>
        <w:t>This reading serves several purposes for our class. First, t</w:t>
      </w:r>
      <w:r w:rsidRPr="0028771E">
        <w:t>his is a big theory piece</w:t>
      </w:r>
      <w:r>
        <w:t xml:space="preserve"> about ‘doing gender’, which was a substantial innovation in gender studies in the late 1980s to the mid-1990s. Over the next couple of weeks, we’ll talk about several other ways of ‘doing’ identity, so this is foundational. On this point, check out endnote three on why they don’t talk about race here. Are you satisfied with their answer?</w:t>
      </w:r>
    </w:p>
    <w:p w14:paraId="77ABF392" w14:textId="77777777" w:rsidR="00402BC9" w:rsidRPr="0028771E" w:rsidRDefault="00402BC9" w:rsidP="00402BC9">
      <w:r>
        <w:t xml:space="preserve">Second, it also acts an introduction to an important new way of engaging food: foodie-ism. </w:t>
      </w:r>
    </w:p>
    <w:p w14:paraId="1AAC186F" w14:textId="77777777" w:rsidR="00402BC9" w:rsidRDefault="00402BC9" w:rsidP="00402BC9">
      <w:pPr>
        <w:pStyle w:val="a5"/>
        <w:numPr>
          <w:ilvl w:val="0"/>
          <w:numId w:val="1"/>
        </w:numPr>
      </w:pPr>
      <w:r w:rsidRPr="00100216">
        <w:t xml:space="preserve">How do gender and class combine in how foodies ‘do gender’? </w:t>
      </w:r>
    </w:p>
    <w:p w14:paraId="57321F7B" w14:textId="77777777" w:rsidR="00402BC9" w:rsidRDefault="00402BC9" w:rsidP="00402BC9">
      <w:pPr>
        <w:pStyle w:val="a5"/>
        <w:numPr>
          <w:ilvl w:val="0"/>
          <w:numId w:val="1"/>
        </w:numPr>
      </w:pPr>
      <w:r w:rsidRPr="00100216">
        <w:t>Are there ways</w:t>
      </w:r>
      <w:r>
        <w:t xml:space="preserve"> </w:t>
      </w:r>
      <w:r w:rsidRPr="00100216">
        <w:t xml:space="preserve">in which the actions of the interviewees reinforce the privileged positions? </w:t>
      </w:r>
    </w:p>
    <w:p w14:paraId="38EEA4A0" w14:textId="77777777" w:rsidR="00402BC9" w:rsidRPr="00100216" w:rsidRDefault="00402BC9" w:rsidP="00402BC9">
      <w:pPr>
        <w:pStyle w:val="a5"/>
        <w:numPr>
          <w:ilvl w:val="0"/>
          <w:numId w:val="1"/>
        </w:numPr>
      </w:pPr>
      <w:r w:rsidRPr="00100216">
        <w:t>Are there ways in which women foodies are submitting to patriarchy even while privileged?</w:t>
      </w:r>
    </w:p>
    <w:p w14:paraId="362E5A07" w14:textId="77777777" w:rsidR="00402BC9" w:rsidRDefault="00402BC9" w:rsidP="00402BC9">
      <w:pPr>
        <w:rPr>
          <w:b/>
        </w:rPr>
      </w:pPr>
    </w:p>
    <w:p w14:paraId="2B409875" w14:textId="77777777" w:rsidR="00402BC9" w:rsidRPr="00C8501E" w:rsidRDefault="00402BC9" w:rsidP="00402BC9">
      <w:pPr>
        <w:pStyle w:val="2"/>
      </w:pPr>
      <w:r w:rsidRPr="00C8501E">
        <w:t>WEEK THREE</w:t>
      </w:r>
    </w:p>
    <w:p w14:paraId="68259924" w14:textId="77777777" w:rsidR="00402BC9" w:rsidRDefault="00402BC9" w:rsidP="00402BC9">
      <w:pPr>
        <w:rPr>
          <w:b/>
        </w:rPr>
      </w:pPr>
      <w:r w:rsidRPr="008153A0">
        <w:rPr>
          <w:b/>
        </w:rPr>
        <w:t xml:space="preserve">Tuchman, Gaye and Harry G. Levine. 1992. “Safe </w:t>
      </w:r>
      <w:proofErr w:type="spellStart"/>
      <w:r w:rsidRPr="008153A0">
        <w:rPr>
          <w:b/>
        </w:rPr>
        <w:t>treyf</w:t>
      </w:r>
      <w:proofErr w:type="spellEnd"/>
      <w:r w:rsidRPr="008153A0">
        <w:rPr>
          <w:b/>
        </w:rPr>
        <w:t xml:space="preserve">.”: New York Jews and Chinese Foods. </w:t>
      </w:r>
    </w:p>
    <w:p w14:paraId="0570F5B7" w14:textId="77777777" w:rsidR="00402BC9" w:rsidRDefault="00402BC9" w:rsidP="00402BC9">
      <w:r>
        <w:t xml:space="preserve">This article traces the story of how one marginal group ended up incorporating the food of another margin group into its own cuisine, making it a part of its own identity. </w:t>
      </w:r>
    </w:p>
    <w:p w14:paraId="598F15B7" w14:textId="77777777" w:rsidR="00402BC9" w:rsidRDefault="00402BC9" w:rsidP="00402BC9">
      <w:r>
        <w:lastRenderedPageBreak/>
        <w:t>Please consider how Chinese food became a part of ‘doing Jewishness’ NYC style. How did it allow them to adhere to their dietary restrictions while simultaneously allow them to reject the parochial associations of their own identity?</w:t>
      </w:r>
    </w:p>
    <w:p w14:paraId="6140FC13" w14:textId="77777777" w:rsidR="00402BC9" w:rsidRDefault="00402BC9" w:rsidP="00402BC9">
      <w:r>
        <w:t>How did Chinese food help forge a unified NYC Jewish identity of Russian Jews, Polish Jews, etc.?</w:t>
      </w:r>
    </w:p>
    <w:p w14:paraId="151342A4" w14:textId="77777777" w:rsidR="00402BC9" w:rsidRPr="008153A0" w:rsidRDefault="00402BC9" w:rsidP="00402BC9">
      <w:r>
        <w:t>A repetitive conclusion.</w:t>
      </w:r>
    </w:p>
    <w:p w14:paraId="1EF049F9" w14:textId="77777777" w:rsidR="00402BC9" w:rsidRDefault="00402BC9" w:rsidP="00402BC9"/>
    <w:p w14:paraId="0352985F" w14:textId="77777777" w:rsidR="00402BC9" w:rsidRPr="00C8501E" w:rsidRDefault="00402BC9" w:rsidP="00402BC9">
      <w:pPr>
        <w:rPr>
          <w:b/>
        </w:rPr>
      </w:pPr>
      <w:r w:rsidRPr="00C8501E">
        <w:rPr>
          <w:b/>
        </w:rPr>
        <w:t>Lu, Shun and Gary Alan Fine. 1995. “The presentation of ethnic authenticity: Chinese food as a social accomplishment.”</w:t>
      </w:r>
    </w:p>
    <w:p w14:paraId="12AC2FDC" w14:textId="77777777" w:rsidR="00402BC9" w:rsidRDefault="00402BC9" w:rsidP="00402BC9">
      <w:r>
        <w:t>This reading starts to make progress on a number of issues around ‘authenticity’ that have been just below the surface in this course.</w:t>
      </w:r>
    </w:p>
    <w:p w14:paraId="72B4B901" w14:textId="77777777" w:rsidR="00402BC9" w:rsidRDefault="00402BC9" w:rsidP="00402BC9">
      <w:r>
        <w:t xml:space="preserve">What is authenticity? Look especially at pp. 538—41. There’s a decent definition of the term. Slightly maddening, however, in that it admits that authenticity is a moral term, but it doesn’t explore the significance of that. </w:t>
      </w:r>
    </w:p>
    <w:p w14:paraId="1A2A410B" w14:textId="77777777" w:rsidR="00402BC9" w:rsidRDefault="00402BC9" w:rsidP="00402BC9">
      <w:r>
        <w:t xml:space="preserve">Pay especial attention to how the American experience of Chinese food is a negotiated paradox. (That sentence will make more sense after reading the piece.) </w:t>
      </w:r>
    </w:p>
    <w:p w14:paraId="620E0934" w14:textId="77777777" w:rsidR="00402BC9" w:rsidRDefault="00402BC9" w:rsidP="00402BC9">
      <w:r>
        <w:t>Similarly, pay attention to how Chinese American food becomes segmented by audience and the role of market mechanisms in maintaining Chinese identity.</w:t>
      </w:r>
    </w:p>
    <w:p w14:paraId="4F83F14C" w14:textId="77777777" w:rsidR="00402BC9" w:rsidRDefault="00402BC9" w:rsidP="00402BC9">
      <w:pPr>
        <w:pStyle w:val="2"/>
      </w:pPr>
      <w:r>
        <w:t>WEEK FOUR</w:t>
      </w:r>
    </w:p>
    <w:p w14:paraId="13CCCF8C" w14:textId="77777777" w:rsidR="00402BC9" w:rsidRPr="00C37085" w:rsidRDefault="00402BC9" w:rsidP="00402BC9">
      <w:pPr>
        <w:rPr>
          <w:b/>
          <w:i/>
        </w:rPr>
      </w:pPr>
      <w:r w:rsidRPr="00C37085">
        <w:rPr>
          <w:b/>
        </w:rPr>
        <w:t xml:space="preserve">Appadurai, Arjun. 1988. “How to make a national cuisine: cookbooks in contemporary India.” </w:t>
      </w:r>
    </w:p>
    <w:p w14:paraId="3342E6A8" w14:textId="77777777" w:rsidR="00402BC9" w:rsidRDefault="00402BC9" w:rsidP="00402BC9">
      <w:r>
        <w:t>This piece is a study of the role of cookbooks in creating a unified Indian middle class. First and foremost, what makes cookbooks a sociological goldmine? And (on p. 5), why is Indian important to study?</w:t>
      </w:r>
    </w:p>
    <w:p w14:paraId="289788BC" w14:textId="77777777" w:rsidR="00402BC9" w:rsidRDefault="00402BC9" w:rsidP="00402BC9">
      <w:r>
        <w:t xml:space="preserve">What role can cookbooks play in creating or reinforcing identities? And what role does gender play in that? </w:t>
      </w:r>
    </w:p>
    <w:p w14:paraId="586555A2" w14:textId="77777777" w:rsidR="00402BC9" w:rsidRDefault="00402BC9" w:rsidP="00402BC9">
      <w:r>
        <w:t>In what ways were and were not the adventurous middle-class Indian cooks and eaters like modern American foodies?</w:t>
      </w:r>
    </w:p>
    <w:p w14:paraId="429310AD" w14:textId="77777777" w:rsidR="00402BC9" w:rsidRDefault="00402BC9" w:rsidP="00402BC9">
      <w:r>
        <w:t xml:space="preserve">For the above questions, look particularly the paragraph that starts on the bottom of page 7. </w:t>
      </w:r>
    </w:p>
    <w:p w14:paraId="1EF39B1C" w14:textId="77777777" w:rsidR="00402BC9" w:rsidRDefault="00402BC9" w:rsidP="00402BC9">
      <w:r>
        <w:t xml:space="preserve">How do the differences between food and marriage help make food a glue between disparate groups? </w:t>
      </w:r>
    </w:p>
    <w:p w14:paraId="029247FC" w14:textId="77777777" w:rsidR="00402BC9" w:rsidRDefault="00402BC9" w:rsidP="00402BC9">
      <w:r>
        <w:t>The author doesn’t talk about the “seductiveness of variety” in terms of capitalism, but if you wanted to do so, what could you say? (p. 10)</w:t>
      </w:r>
    </w:p>
    <w:p w14:paraId="40E0349C" w14:textId="77777777" w:rsidR="00402BC9" w:rsidRDefault="00402BC9" w:rsidP="00402BC9">
      <w:r>
        <w:t>How does the tension between regional and national cooking play out in cookbooks?</w:t>
      </w:r>
    </w:p>
    <w:p w14:paraId="6EE6D4A4" w14:textId="77777777" w:rsidR="007827DC" w:rsidRDefault="007827DC"/>
    <w:sectPr w:rsidR="007827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8E3F6F"/>
    <w:multiLevelType w:val="hybridMultilevel"/>
    <w:tmpl w:val="8CB23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BC9"/>
    <w:rsid w:val="001833E2"/>
    <w:rsid w:val="00402BC9"/>
    <w:rsid w:val="007827DC"/>
    <w:rsid w:val="00B779D4"/>
    <w:rsid w:val="00F301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99095"/>
  <w15:chartTrackingRefBased/>
  <w15:docId w15:val="{9CEC724C-95A6-4FDF-9C49-3E3001933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2BC9"/>
  </w:style>
  <w:style w:type="paragraph" w:styleId="2">
    <w:name w:val="heading 2"/>
    <w:basedOn w:val="a"/>
    <w:next w:val="a"/>
    <w:link w:val="20"/>
    <w:uiPriority w:val="9"/>
    <w:unhideWhenUsed/>
    <w:qFormat/>
    <w:rsid w:val="00402BC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402BC9"/>
    <w:rPr>
      <w:rFonts w:asciiTheme="majorHAnsi" w:eastAsiaTheme="majorEastAsia" w:hAnsiTheme="majorHAnsi" w:cstheme="majorBidi"/>
      <w:color w:val="2F5496" w:themeColor="accent1" w:themeShade="BF"/>
      <w:sz w:val="26"/>
      <w:szCs w:val="26"/>
    </w:rPr>
  </w:style>
  <w:style w:type="paragraph" w:styleId="a3">
    <w:name w:val="Quote"/>
    <w:basedOn w:val="a"/>
    <w:next w:val="a"/>
    <w:link w:val="a4"/>
    <w:uiPriority w:val="29"/>
    <w:qFormat/>
    <w:rsid w:val="00402BC9"/>
    <w:pPr>
      <w:spacing w:before="200"/>
      <w:ind w:left="864" w:right="864"/>
      <w:jc w:val="center"/>
    </w:pPr>
    <w:rPr>
      <w:i/>
      <w:iCs/>
      <w:color w:val="404040" w:themeColor="text1" w:themeTint="BF"/>
    </w:rPr>
  </w:style>
  <w:style w:type="character" w:customStyle="1" w:styleId="a4">
    <w:name w:val="引用 字符"/>
    <w:basedOn w:val="a0"/>
    <w:link w:val="a3"/>
    <w:uiPriority w:val="29"/>
    <w:rsid w:val="00402BC9"/>
    <w:rPr>
      <w:i/>
      <w:iCs/>
      <w:color w:val="404040" w:themeColor="text1" w:themeTint="BF"/>
    </w:rPr>
  </w:style>
  <w:style w:type="paragraph" w:styleId="a5">
    <w:name w:val="List Paragraph"/>
    <w:basedOn w:val="a"/>
    <w:uiPriority w:val="34"/>
    <w:qFormat/>
    <w:rsid w:val="00402B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1454</Words>
  <Characters>8293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Troutman</dc:creator>
  <cp:keywords/>
  <dc:description/>
  <cp:lastModifiedBy>james Wu</cp:lastModifiedBy>
  <cp:revision>2</cp:revision>
  <dcterms:created xsi:type="dcterms:W3CDTF">2019-04-18T03:13:00Z</dcterms:created>
  <dcterms:modified xsi:type="dcterms:W3CDTF">2019-04-20T23:16:00Z</dcterms:modified>
</cp:coreProperties>
</file>